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D689" w14:textId="77777777" w:rsidR="00843ECD" w:rsidRDefault="00843ECD" w:rsidP="00843E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Что проверить в отчете по прибыли за 1С: чек</w:t>
      </w:r>
      <w:r w:rsidRPr="00B26017">
        <w:rPr>
          <w:rFonts w:ascii="Times New Roman" w:hAnsi="Times New Roman"/>
          <w:b/>
          <w:bCs/>
        </w:rPr>
        <w:noBreakHyphen/>
        <w:t>лист</w:t>
      </w:r>
    </w:p>
    <w:p w14:paraId="0D36095C" w14:textId="77777777" w:rsidR="00843ECD" w:rsidRPr="00B26017" w:rsidRDefault="00843ECD" w:rsidP="00843E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6D11BBC0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i/>
          <w:iCs/>
        </w:rPr>
        <w:t>Забирайте чек-лист для быстрой проверки декларации по налогу на прибыль за 9 месяцев. Ошибки в реквизитах и показателях, о которых пойдет речь в статье, появились из-за того, что с этого года действует новая форма декларации (утв. приказом ФНС от 02.10.2024 № ЕД-7-/830). Расскажем, как избежать недочетов.</w:t>
      </w:r>
    </w:p>
    <w:p w14:paraId="5C5CB0D4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4F02E8B8" wp14:editId="3DA6B608">
            <wp:extent cx="287020" cy="244475"/>
            <wp:effectExtent l="19050" t="0" r="0" b="0"/>
            <wp:docPr id="1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17">
        <w:rPr>
          <w:rFonts w:ascii="Times New Roman" w:hAnsi="Times New Roman"/>
          <w:b/>
          <w:bCs/>
        </w:rPr>
        <w:t xml:space="preserve"> КПП компании или </w:t>
      </w:r>
      <w:proofErr w:type="spellStart"/>
      <w:r w:rsidRPr="00B26017">
        <w:rPr>
          <w:rFonts w:ascii="Times New Roman" w:hAnsi="Times New Roman"/>
          <w:b/>
          <w:bCs/>
        </w:rPr>
        <w:t>обособки</w:t>
      </w:r>
      <w:proofErr w:type="spellEnd"/>
    </w:p>
    <w:p w14:paraId="6AF8AD6C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подразделах 1.1 и 1.2 декларации по прибыли с этого года появились новые строки 056 и 206 — «КПП по месту нахождения организации (обособленного подразделения)».</w:t>
      </w:r>
    </w:p>
    <w:p w14:paraId="61220477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В чем ошибаются коллеги.</w:t>
      </w:r>
      <w:r w:rsidRPr="00B26017">
        <w:rPr>
          <w:rFonts w:ascii="Times New Roman" w:hAnsi="Times New Roman"/>
        </w:rPr>
        <w:t xml:space="preserve"> Вместо КПП </w:t>
      </w:r>
      <w:proofErr w:type="spellStart"/>
      <w:r w:rsidRPr="00B26017">
        <w:rPr>
          <w:rFonts w:ascii="Times New Roman" w:hAnsi="Times New Roman"/>
        </w:rPr>
        <w:t>обособки</w:t>
      </w:r>
      <w:proofErr w:type="spellEnd"/>
      <w:r w:rsidRPr="00B26017">
        <w:rPr>
          <w:rFonts w:ascii="Times New Roman" w:hAnsi="Times New Roman"/>
        </w:rPr>
        <w:t xml:space="preserve"> ставят код головной компании или наоборот. На практике, по словам коллег, бывает и такое, что слеш между ИНН и КПП в 1С установлен не в ту сторону. Правильно, например, так: 7713123456/771301001. Неправильно: 7713123456\771301001. Из-за неверного слеша КПП, как и ИНН, может совсем не попасть в отчет. При проверке налоговики могут запросить у компании пояснения.</w:t>
      </w:r>
    </w:p>
    <w:p w14:paraId="7112295C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Как избежать ошибки.</w:t>
      </w:r>
      <w:r w:rsidRPr="00B26017">
        <w:rPr>
          <w:rFonts w:ascii="Times New Roman" w:hAnsi="Times New Roman"/>
        </w:rPr>
        <w:t> Перед заполнением отчетности по прибыли проверьте, что в справочнике контрагентов и подразделений указан КПП вашей компании и он верный. Если заметили ошибку, скорректируйте настройки 1С, путь такой: «Сервис» &gt; «Параметры организации».</w:t>
      </w:r>
    </w:p>
    <w:p w14:paraId="60C9B059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FA22CEB" wp14:editId="4BA20F4F">
            <wp:extent cx="287020" cy="244475"/>
            <wp:effectExtent l="19050" t="0" r="0" b="0"/>
            <wp:docPr id="2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17">
        <w:rPr>
          <w:rFonts w:ascii="Times New Roman" w:hAnsi="Times New Roman"/>
          <w:b/>
          <w:bCs/>
        </w:rPr>
        <w:t> Внереализационные доходы</w:t>
      </w:r>
    </w:p>
    <w:p w14:paraId="347F1EF9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приложении 1 к листу 02 появились новые строки 107, 108 и 109. В них указывают доходы от участия в инвестиционном товариществе (107), проценты по долгам любого вида (108) и положительную курсовую разницу (109). Все это выделяют из общей суммы полученных внереализационных доходов.</w:t>
      </w:r>
    </w:p>
    <w:p w14:paraId="0BD40BBB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В чем ошибаются коллеги.</w:t>
      </w:r>
      <w:r w:rsidRPr="00B26017">
        <w:rPr>
          <w:rFonts w:ascii="Times New Roman" w:hAnsi="Times New Roman"/>
        </w:rPr>
        <w:t> Бухгалтеры пытаются вручную заполнять новые строки 107, 108 и 109, так как боятся, что программа некорректно выделит суммы из общих доходов компании. Но и это не гарантирует, что распределение будет верным, — человеческий фактор никто не отменял. Ошибки в новых строках повлияют на сумму внереализационных доходов в обобщающей строке 100. А эта строка напрямую влияет на корректность суммы налога на прибыль.</w:t>
      </w:r>
    </w:p>
    <w:p w14:paraId="60D2AD2B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Как избежать ошибки.</w:t>
      </w:r>
      <w:r w:rsidRPr="00B26017">
        <w:rPr>
          <w:rFonts w:ascii="Times New Roman" w:hAnsi="Times New Roman"/>
        </w:rPr>
        <w:t> Чтобы 1С правильно заполнила новые строки 107–109, проверьте корректность аналитики по счету 91 субсчет «Прочие доходы». Также посмотрите настройки для учета прочих доходов, например «Проценты к получению», «Курсовые разницы» и др. Настроить учет под себя можно в разделе «Параметры учета» 1С. Чтобы его найти, сначала зайдите в «Администрирование», затем в «Настройки программы».</w:t>
      </w:r>
    </w:p>
    <w:p w14:paraId="0D4A3938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23321EAC" wp14:editId="54CF5F36">
            <wp:extent cx="287020" cy="244475"/>
            <wp:effectExtent l="19050" t="0" r="0" b="0"/>
            <wp:docPr id="3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17">
        <w:rPr>
          <w:rFonts w:ascii="Times New Roman" w:hAnsi="Times New Roman"/>
          <w:b/>
          <w:bCs/>
        </w:rPr>
        <w:t> Внереализационные расходы</w:t>
      </w:r>
    </w:p>
    <w:p w14:paraId="7381D0B7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 приложении 2 к листу 02 тоже появились новые строки: 202 — расходы в виде процентов на контролируемую задолженность; 207 — убытки от участия в инвестиционном товариществе; 208 — отрицательная курсовая разница.</w:t>
      </w:r>
    </w:p>
    <w:p w14:paraId="5630DF3C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В чем ошибаются коллеги.</w:t>
      </w:r>
      <w:r w:rsidRPr="00B26017">
        <w:rPr>
          <w:rFonts w:ascii="Times New Roman" w:hAnsi="Times New Roman"/>
        </w:rPr>
        <w:t> Ошибка касается детализации процентов на контролируемую задолженность по строке 202. Этой детализации в декларации может не оказаться, если программа заполнит только обобщающую строку 201 по всем процентам. Если ИФНС знает, что у компании есть контролируемые сделки, инспекторы могут запросить у вас пояснения о том, почему строка 202 декларации не заполнена.</w:t>
      </w:r>
    </w:p>
    <w:p w14:paraId="2BF0EA39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Как избежать ошибки. </w:t>
      </w:r>
      <w:r w:rsidRPr="00B26017">
        <w:rPr>
          <w:rFonts w:ascii="Times New Roman" w:hAnsi="Times New Roman"/>
        </w:rPr>
        <w:t>Проверьте аналитику прочих расходов в учете — в 1С это обычно статьи, которые начинаются со слова «Проценты». Если нужно внести исправления, это можно сделать в разделе «Параметры учета» 1С.</w:t>
      </w:r>
    </w:p>
    <w:p w14:paraId="545655FC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2847355" wp14:editId="1E49601E">
            <wp:extent cx="287020" cy="244475"/>
            <wp:effectExtent l="19050" t="0" r="0" b="0"/>
            <wp:docPr id="4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17">
        <w:rPr>
          <w:rFonts w:ascii="Times New Roman" w:hAnsi="Times New Roman"/>
          <w:b/>
          <w:bCs/>
        </w:rPr>
        <w:t> Авансы</w:t>
      </w:r>
    </w:p>
    <w:p w14:paraId="0F2D971E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В строке 210 листа 2 декларации по прибыли отражают общую сумму авансовых платежей по налогу за отчетный период — начисленную, а не фактически уплаченную (</w:t>
      </w:r>
      <w:hyperlink r:id="rId5" w:anchor="XA00RR42P9" w:tgtFrame="_blank" w:history="1">
        <w:r w:rsidRPr="00B26017">
          <w:rPr>
            <w:rStyle w:val="a3"/>
            <w:rFonts w:ascii="Times New Roman" w:hAnsi="Times New Roman"/>
          </w:rPr>
          <w:t>п. 2 ст. 286 НК</w:t>
        </w:r>
      </w:hyperlink>
      <w:r w:rsidRPr="00B26017">
        <w:rPr>
          <w:rFonts w:ascii="Times New Roman" w:hAnsi="Times New Roman"/>
        </w:rPr>
        <w:t>). Строка 210 — сводная, отражает сумму строк 220 и 230. В строках 220 и 230 указывают начисленные авансы, распределенные по бюджетам: строка 220 — в федеральный бюджет (ставка 8%); строка 230 — в региональный бюджет (ставка 17%).</w:t>
      </w:r>
    </w:p>
    <w:p w14:paraId="630B02F5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Сумма строки 210 не зависит от размера фактической прибыли по итогам квартала и от уже перечисленных авансов по налогу. Расчет зависит лишь от способа уплаты авансов: каждый месяц или каждый квартал.</w:t>
      </w:r>
    </w:p>
    <w:p w14:paraId="387D5F86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В чем ошибаются коллеги.</w:t>
      </w:r>
      <w:r w:rsidRPr="00B26017">
        <w:rPr>
          <w:rFonts w:ascii="Times New Roman" w:hAnsi="Times New Roman"/>
        </w:rPr>
        <w:t> Чаще всего ошибка в строке 210 декларации возникает из-за описок и неверных арифметических подсчетов.</w:t>
      </w:r>
    </w:p>
    <w:p w14:paraId="3CC66E72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Как избежать ошибки.</w:t>
      </w:r>
      <w:r w:rsidRPr="00B26017">
        <w:rPr>
          <w:rFonts w:ascii="Times New Roman" w:hAnsi="Times New Roman"/>
        </w:rPr>
        <w:t> Сверьте авансы с отчетом за предыдущий период. Например, при подготовке отчетности за 9 месяцев посмотрите отчет за полугодие. Также возможна ситуация, когда компания включает в строку 210 уплаченные авансы вместо начисленных. Это неверно. Проверьте суммы в карточке расчетов с бюджетом по счету 68, субсчет «ЕНП» и аналитика налога на прибыль.</w:t>
      </w:r>
    </w:p>
    <w:p w14:paraId="2387F24B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3166E9C9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Проверьте свою декларацию по контрольным соотношениям</w:t>
      </w:r>
    </w:p>
    <w:p w14:paraId="542382E2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Налоговики сопоставляют показатели из разных разделов прибыльной декларации для проверки суммы к уплате или уменьшению. Также они отслеживают отрицательные значения там, где их быть не должно (соотношения 3.1–3.5 из </w:t>
      </w:r>
      <w:hyperlink r:id="rId6" w:tgtFrame="_blank" w:history="1">
        <w:r w:rsidRPr="00B26017">
          <w:rPr>
            <w:rStyle w:val="a3"/>
            <w:rFonts w:ascii="Times New Roman" w:hAnsi="Times New Roman"/>
          </w:rPr>
          <w:t>приказа ФНС от 29.02.2024 № ЕД-7-3/164</w:t>
        </w:r>
      </w:hyperlink>
      <w:r w:rsidRPr="00B26017">
        <w:rPr>
          <w:rFonts w:ascii="Times New Roman" w:hAnsi="Times New Roman"/>
        </w:rPr>
        <w:t>).</w:t>
      </w:r>
    </w:p>
    <w:p w14:paraId="71610126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Контроль важнейших соотношений наверняка заложен в вашу учетную программу. Но для понимания вот, например, формулы проверки ошибочных отрицательных значений: строки 040, 050, 070, 080 подраздела 1 раздела 11 ≥ 0; строки 120, 130, 140, 220, 230, 240 подраздела 1.2 раздела 1 ≥ 0; строка 040 подраздела 1.3 раздела 11 ≥ 0; строки 180, 190, 200, 210, 220, 230, 270, 271, 280, 281 листа 021 ≥ 0.</w:t>
      </w:r>
    </w:p>
    <w:p w14:paraId="317601F8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Проверка на ошибки в расчете суммы налога к уплате:</w:t>
      </w:r>
      <w:r w:rsidRPr="00B26017">
        <w:rPr>
          <w:rFonts w:ascii="Times New Roman" w:hAnsi="Times New Roman"/>
        </w:rPr>
        <w:br/>
        <w:t>строка 270 листа 02 = строка 190 – (строка 220 + строка 250 + строка 268);</w:t>
      </w:r>
      <w:r w:rsidRPr="00B26017">
        <w:rPr>
          <w:rFonts w:ascii="Times New Roman" w:hAnsi="Times New Roman"/>
        </w:rPr>
        <w:br/>
        <w:t>строка 271 листа 02 = строка 200 – (строка 230 + строка + 260 строка + 267 строка 269).</w:t>
      </w:r>
    </w:p>
    <w:p w14:paraId="173667FB" w14:textId="77777777" w:rsidR="00843ECD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Проверка на ошибки в расчете суммы налога к уменьшению:</w:t>
      </w:r>
      <w:r w:rsidRPr="00B26017">
        <w:rPr>
          <w:rFonts w:ascii="Times New Roman" w:hAnsi="Times New Roman"/>
        </w:rPr>
        <w:br/>
        <w:t>строка 280 листа 02 = (строка 220 + строка 250 + строка 268) – строка 190;</w:t>
      </w:r>
      <w:r w:rsidRPr="00B26017">
        <w:rPr>
          <w:rFonts w:ascii="Times New Roman" w:hAnsi="Times New Roman"/>
        </w:rPr>
        <w:br/>
        <w:t>строка 281 листа 02 = (строка 230 + строка 260 + строка 267 + строка 269) – строка 200.</w:t>
      </w:r>
    </w:p>
    <w:p w14:paraId="78A38378" w14:textId="77777777" w:rsidR="00714F1F" w:rsidRPr="00B26017" w:rsidRDefault="00714F1F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42FD40" w14:textId="3A0CC1C6" w:rsidR="00843ECD" w:rsidRPr="00B26017" w:rsidRDefault="00843ECD" w:rsidP="00843ECD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Инна ВИСКОВА,</w:t>
      </w:r>
      <w:r w:rsidR="00714F1F">
        <w:rPr>
          <w:rFonts w:ascii="Times New Roman" w:hAnsi="Times New Roman"/>
        </w:rPr>
        <w:t xml:space="preserve"> </w:t>
      </w:r>
      <w:r w:rsidRPr="00B26017">
        <w:rPr>
          <w:rFonts w:ascii="Times New Roman" w:hAnsi="Times New Roman"/>
        </w:rPr>
        <w:t>эксперт журнала «Главбух»</w:t>
      </w:r>
    </w:p>
    <w:p w14:paraId="14FA4B55" w14:textId="77777777" w:rsidR="00843ECD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128AF81" w14:textId="77777777" w:rsidR="00843ECD" w:rsidRPr="00B26017" w:rsidRDefault="00843ECD" w:rsidP="00843ECD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70E1C778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AE3E1B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9160DB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3DA399" w14:textId="77777777" w:rsidR="00843ECD" w:rsidRPr="00B26017" w:rsidRDefault="00843ECD" w:rsidP="00843E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ABA0FF3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ECD"/>
    <w:rsid w:val="000C47A4"/>
    <w:rsid w:val="00714F1F"/>
    <w:rsid w:val="00843ECD"/>
    <w:rsid w:val="00B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A599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CD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3E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ECD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05388473" TargetMode="External"/><Relationship Id="rId5" Type="http://schemas.openxmlformats.org/officeDocument/2006/relationships/hyperlink" Target="https://e.glavbukh.ru/npd-doc?npmid=99&amp;npid=901765862&amp;anchor=XA00RR42P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853</Words>
  <Characters>4868</Characters>
  <Application>Microsoft Office Word</Application>
  <DocSecurity>0</DocSecurity>
  <Lines>40</Lines>
  <Paragraphs>11</Paragraphs>
  <ScaleCrop>false</ScaleCrop>
  <Company>Grizli777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2025-10-13T13:24:00Z</dcterms:created>
  <dcterms:modified xsi:type="dcterms:W3CDTF">2025-10-30T06:40:00Z</dcterms:modified>
</cp:coreProperties>
</file>